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36"/>
          <w:szCs w:val="36"/>
        </w:rPr>
      </w:pPr>
      <w:r>
        <w:rPr>
          <w:rFonts w:hint="eastAsia" w:ascii="方正仿宋_GBK" w:hAnsi="方正仿宋_GBK" w:cs="方正仿宋_GBK"/>
          <w:b/>
          <w:sz w:val="36"/>
          <w:szCs w:val="36"/>
        </w:rPr>
        <w:t>安徽省教育科学研究项目</w:t>
      </w:r>
      <w:r>
        <w:rPr>
          <w:rFonts w:ascii="方正仿宋_GBK" w:hAnsi="方正仿宋_GBK" w:cs="方正仿宋_GBK"/>
          <w:b/>
          <w:sz w:val="36"/>
          <w:szCs w:val="36"/>
        </w:rPr>
        <w:t>2017</w:t>
      </w:r>
      <w:r>
        <w:rPr>
          <w:rFonts w:hint="eastAsia" w:ascii="方正仿宋_GBK" w:hAnsi="方正仿宋_GBK" w:cs="方正仿宋_GBK"/>
          <w:b/>
          <w:sz w:val="36"/>
          <w:szCs w:val="36"/>
        </w:rPr>
        <w:t>年度</w:t>
      </w:r>
    </w:p>
    <w:p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cs="方正仿宋_GBK"/>
          <w:b/>
          <w:sz w:val="36"/>
          <w:szCs w:val="36"/>
        </w:rPr>
        <w:t>课题选题指南</w:t>
      </w:r>
    </w:p>
    <w:p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28"/>
          <w:szCs w:val="28"/>
        </w:rPr>
      </w:pPr>
      <w:r>
        <w:rPr>
          <w:rFonts w:hint="eastAsia" w:ascii="方正仿宋_GBK" w:hAnsi="方正仿宋_GBK" w:cs="方正仿宋_GBK"/>
          <w:b/>
          <w:sz w:val="28"/>
          <w:szCs w:val="28"/>
        </w:rPr>
        <w:t>综合研究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</w:t>
      </w:r>
      <w:r>
        <w:rPr>
          <w:rFonts w:hint="eastAsia" w:ascii="方正仿宋_GBK" w:hAnsi="方正仿宋_GBK" w:cs="方正仿宋_GBK"/>
          <w:sz w:val="28"/>
          <w:szCs w:val="28"/>
        </w:rPr>
        <w:t>．社会主义核心价值观融入学校教育、家庭教育研究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</w:t>
      </w:r>
      <w:r>
        <w:rPr>
          <w:rFonts w:hint="eastAsia" w:ascii="方正仿宋_GBK" w:hAnsi="方正仿宋_GBK" w:cs="方正仿宋_GBK"/>
          <w:sz w:val="28"/>
          <w:szCs w:val="28"/>
        </w:rPr>
        <w:t>．加强中华优秀传统文化教育的理论与实践研究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</w:t>
      </w:r>
      <w:r>
        <w:rPr>
          <w:rFonts w:hint="eastAsia" w:ascii="方正仿宋_GBK" w:hAnsi="方正仿宋_GBK" w:cs="方正仿宋_GBK"/>
          <w:sz w:val="28"/>
          <w:szCs w:val="28"/>
        </w:rPr>
        <w:t>．城乡教育一体化背景下义务教育体制、机制改革研究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</w:t>
      </w:r>
      <w:r>
        <w:rPr>
          <w:rFonts w:hint="eastAsia" w:ascii="方正仿宋_GBK" w:hAnsi="方正仿宋_GBK" w:cs="方正仿宋_GBK"/>
          <w:sz w:val="28"/>
          <w:szCs w:val="28"/>
        </w:rPr>
        <w:t>．政府主导下学前教育发展体制机制完善与创新研究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</w:t>
      </w:r>
      <w:r>
        <w:rPr>
          <w:rFonts w:hint="eastAsia" w:ascii="方正仿宋_GBK" w:hAnsi="方正仿宋_GBK" w:cs="方正仿宋_GBK"/>
          <w:sz w:val="28"/>
          <w:szCs w:val="28"/>
        </w:rPr>
        <w:t>．农村学前教育投入保障机制研究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6</w:t>
      </w:r>
      <w:r>
        <w:rPr>
          <w:rFonts w:hint="eastAsia" w:ascii="方正仿宋_GBK" w:hAnsi="方正仿宋_GBK" w:cs="方正仿宋_GBK"/>
          <w:sz w:val="28"/>
          <w:szCs w:val="28"/>
        </w:rPr>
        <w:t>．民办幼儿园的发展与管理研究</w:t>
      </w:r>
      <w:r>
        <w:rPr>
          <w:rFonts w:ascii="方正仿宋_GBK" w:cs="方正仿宋_GBK"/>
          <w:sz w:val="28"/>
          <w:szCs w:val="28"/>
        </w:rPr>
        <w:t>   </w:t>
      </w:r>
      <w:r>
        <w:rPr>
          <w:rFonts w:ascii="方正仿宋_GBK" w:hAnsi="方正仿宋_GBK" w:cs="方正仿宋_GBK"/>
          <w:sz w:val="28"/>
          <w:szCs w:val="28"/>
        </w:rPr>
        <w:t xml:space="preserve">      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7</w:t>
      </w:r>
      <w:r>
        <w:rPr>
          <w:rFonts w:hint="eastAsia" w:ascii="方正仿宋_GBK" w:hAnsi="方正仿宋_GBK" w:cs="方正仿宋_GBK"/>
          <w:sz w:val="28"/>
          <w:szCs w:val="28"/>
        </w:rPr>
        <w:t>．农村学前教育质量保障与机制研究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8</w:t>
      </w:r>
      <w:r>
        <w:rPr>
          <w:rFonts w:hint="eastAsia" w:ascii="方正仿宋_GBK" w:hAnsi="方正仿宋_GBK" w:cs="方正仿宋_GBK"/>
          <w:sz w:val="28"/>
          <w:szCs w:val="28"/>
        </w:rPr>
        <w:t>．特殊群体儿童少年教育权利保障问题研究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9</w:t>
      </w:r>
      <w:r>
        <w:rPr>
          <w:rFonts w:hint="eastAsia" w:ascii="方正仿宋_GBK" w:hAnsi="方正仿宋_GBK" w:cs="方正仿宋_GBK"/>
          <w:sz w:val="28"/>
          <w:szCs w:val="28"/>
        </w:rPr>
        <w:t>．职业教育现代化保障机制、政策与策略研究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10</w:t>
      </w:r>
      <w:r>
        <w:rPr>
          <w:rFonts w:hint="eastAsia" w:ascii="方正仿宋_GBK" w:hAnsi="方正仿宋_GBK" w:cs="方正仿宋_GBK"/>
          <w:sz w:val="28"/>
          <w:szCs w:val="28"/>
        </w:rPr>
        <w:t>．区域专业布局适应产业结构动态调整机制研究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11</w:t>
      </w:r>
      <w:r>
        <w:rPr>
          <w:rFonts w:hint="eastAsia" w:ascii="方正仿宋_GBK" w:hAnsi="方正仿宋_GBK" w:cs="方正仿宋_GBK"/>
          <w:sz w:val="28"/>
          <w:szCs w:val="28"/>
        </w:rPr>
        <w:t>．职业教育产教融合、校企合作模式、制度与政策研究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12</w:t>
      </w:r>
      <w:r>
        <w:rPr>
          <w:rFonts w:hint="eastAsia" w:ascii="方正仿宋_GBK" w:hAnsi="方正仿宋_GBK" w:cs="方正仿宋_GBK"/>
          <w:sz w:val="28"/>
          <w:szCs w:val="28"/>
        </w:rPr>
        <w:t>．职业院校招生考试制度综合改革研究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13</w:t>
      </w:r>
      <w:r>
        <w:rPr>
          <w:rFonts w:hint="eastAsia" w:ascii="方正仿宋_GBK" w:hAnsi="方正仿宋_GBK" w:cs="方正仿宋_GBK"/>
          <w:sz w:val="28"/>
          <w:szCs w:val="28"/>
        </w:rPr>
        <w:t>．职业教育在“教育扶贫”中的策略和途径研究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14</w:t>
      </w:r>
      <w:r>
        <w:rPr>
          <w:rFonts w:hint="eastAsia" w:ascii="方正仿宋_GBK" w:hAnsi="方正仿宋_GBK" w:cs="方正仿宋_GBK"/>
          <w:sz w:val="28"/>
          <w:szCs w:val="28"/>
        </w:rPr>
        <w:t>．教育“管办评”分离的体制机制研究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15</w:t>
      </w:r>
      <w:r>
        <w:rPr>
          <w:rFonts w:hint="eastAsia" w:ascii="方正仿宋_GBK" w:hAnsi="方正仿宋_GBK" w:cs="方正仿宋_GBK"/>
          <w:sz w:val="28"/>
          <w:szCs w:val="28"/>
        </w:rPr>
        <w:t>．信息技术支持下的教育教学模式改革研究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16</w:t>
      </w:r>
      <w:r>
        <w:rPr>
          <w:rFonts w:hint="eastAsia" w:ascii="方正仿宋_GBK" w:hAnsi="方正仿宋_GBK" w:cs="方正仿宋_GBK"/>
          <w:sz w:val="28"/>
          <w:szCs w:val="28"/>
        </w:rPr>
        <w:t>．基于</w:t>
      </w:r>
      <w:r>
        <w:rPr>
          <w:rFonts w:hint="eastAsia" w:ascii="仿宋_GB2312" w:eastAsia="仿宋_GB2312" w:cs="仿宋_GB2312"/>
          <w:sz w:val="28"/>
          <w:szCs w:val="28"/>
        </w:rPr>
        <w:t>学生核心素养培育的教学改革研究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17</w:t>
      </w:r>
      <w:r>
        <w:rPr>
          <w:rFonts w:hint="eastAsia" w:ascii="方正仿宋_GBK" w:hAnsi="方正仿宋_GBK" w:cs="方正仿宋_GBK"/>
          <w:sz w:val="28"/>
          <w:szCs w:val="28"/>
        </w:rPr>
        <w:t>．基于</w:t>
      </w:r>
      <w:r>
        <w:rPr>
          <w:rFonts w:hint="eastAsia" w:ascii="仿宋_GB2312" w:eastAsia="仿宋_GB2312" w:cs="仿宋_GB2312"/>
          <w:sz w:val="28"/>
          <w:szCs w:val="28"/>
        </w:rPr>
        <w:t>核心素养培育的学生学业评价研究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18</w:t>
      </w:r>
      <w:r>
        <w:rPr>
          <w:rFonts w:hint="eastAsia" w:ascii="方正仿宋_GBK" w:hAnsi="方正仿宋_GBK" w:cs="方正仿宋_GBK"/>
          <w:sz w:val="28"/>
          <w:szCs w:val="28"/>
        </w:rPr>
        <w:t>．基于</w:t>
      </w:r>
      <w:r>
        <w:rPr>
          <w:rFonts w:hint="eastAsia" w:ascii="仿宋_GB2312" w:eastAsia="仿宋_GB2312" w:cs="仿宋_GB2312"/>
          <w:sz w:val="28"/>
          <w:szCs w:val="28"/>
        </w:rPr>
        <w:t>核心素养培育的</w:t>
      </w:r>
      <w:r>
        <w:rPr>
          <w:rFonts w:hint="eastAsia" w:ascii="方正仿宋_GBK" w:hAnsi="方正仿宋_GBK" w:cs="方正仿宋_GBK"/>
          <w:sz w:val="28"/>
          <w:szCs w:val="28"/>
        </w:rPr>
        <w:t>学生综合素质评价</w:t>
      </w:r>
      <w:r>
        <w:rPr>
          <w:rFonts w:hint="eastAsia" w:ascii="仿宋_GB2312" w:eastAsia="仿宋_GB2312" w:cs="仿宋_GB2312"/>
          <w:sz w:val="28"/>
          <w:szCs w:val="28"/>
        </w:rPr>
        <w:t>研究</w:t>
      </w:r>
    </w:p>
    <w:p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28"/>
          <w:szCs w:val="28"/>
        </w:rPr>
      </w:pPr>
      <w:r>
        <w:rPr>
          <w:rFonts w:hint="eastAsia" w:ascii="方正仿宋_GBK" w:hAnsi="方正仿宋_GBK" w:cs="方正仿宋_GBK"/>
          <w:b/>
          <w:sz w:val="28"/>
          <w:szCs w:val="28"/>
        </w:rPr>
        <w:t>管理研究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19</w:t>
      </w:r>
      <w:r>
        <w:rPr>
          <w:rFonts w:hint="eastAsia" w:ascii="方正仿宋_GBK" w:hAnsi="方正仿宋_GBK" w:cs="方正仿宋_GBK"/>
          <w:sz w:val="28"/>
          <w:szCs w:val="28"/>
        </w:rPr>
        <w:t>．学校管理制度实践与创新研究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cs="方正仿宋_GBK"/>
          <w:sz w:val="28"/>
          <w:szCs w:val="28"/>
        </w:rPr>
        <w:t>．学校内涵发展与特色发展的研究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cs="仿宋_GB2312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21</w:t>
      </w:r>
      <w:r>
        <w:rPr>
          <w:rFonts w:hint="eastAsia" w:ascii="方正仿宋_GBK" w:hAnsi="方正仿宋_GBK" w:cs="方正仿宋_GBK"/>
          <w:sz w:val="28"/>
          <w:szCs w:val="28"/>
        </w:rPr>
        <w:t>．公益性导向民办学校发展研究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22</w:t>
      </w:r>
      <w:r>
        <w:rPr>
          <w:rFonts w:hint="eastAsia" w:ascii="方正仿宋_GBK" w:hAnsi="方正仿宋_GBK" w:cs="方正仿宋_GBK"/>
          <w:sz w:val="28"/>
          <w:szCs w:val="28"/>
        </w:rPr>
        <w:t>．学校课程特色与教学文化建设的研究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23</w:t>
      </w:r>
      <w:r>
        <w:rPr>
          <w:rFonts w:hint="eastAsia" w:ascii="方正仿宋_GBK" w:hAnsi="方正仿宋_GBK" w:cs="方正仿宋_GBK"/>
          <w:sz w:val="28"/>
          <w:szCs w:val="28"/>
        </w:rPr>
        <w:t>．区域教育质量管理与评价研究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24</w:t>
      </w:r>
      <w:r>
        <w:rPr>
          <w:rFonts w:hint="eastAsia" w:ascii="方正仿宋_GBK" w:hAnsi="方正仿宋_GBK" w:cs="方正仿宋_GBK"/>
          <w:sz w:val="28"/>
          <w:szCs w:val="28"/>
        </w:rPr>
        <w:t>．区域推进中小学校长职级制的研究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25</w:t>
      </w:r>
      <w:r>
        <w:rPr>
          <w:rFonts w:hint="eastAsia" w:ascii="方正仿宋_GBK" w:hAnsi="方正仿宋_GBK" w:cs="方正仿宋_GBK"/>
          <w:sz w:val="28"/>
          <w:szCs w:val="28"/>
        </w:rPr>
        <w:t>．教师绩效考核背景下的师德标准与师风建设研究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26</w:t>
      </w:r>
      <w:r>
        <w:rPr>
          <w:rFonts w:hint="eastAsia" w:ascii="方正仿宋_GBK" w:hAnsi="方正仿宋_GBK" w:cs="方正仿宋_GBK"/>
          <w:sz w:val="28"/>
          <w:szCs w:val="28"/>
        </w:rPr>
        <w:t>．普通高中走班教学、分层教学研究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27</w:t>
      </w:r>
      <w:r>
        <w:rPr>
          <w:rFonts w:hint="eastAsia" w:ascii="方正仿宋_GBK" w:hAnsi="方正仿宋_GBK" w:cs="方正仿宋_GBK"/>
          <w:sz w:val="28"/>
          <w:szCs w:val="28"/>
        </w:rPr>
        <w:t>．完善学生综合素质评价研究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28</w:t>
      </w:r>
      <w:r>
        <w:rPr>
          <w:rFonts w:hint="eastAsia" w:ascii="方正仿宋_GBK" w:hAnsi="方正仿宋_GBK" w:cs="方正仿宋_GBK"/>
          <w:sz w:val="28"/>
          <w:szCs w:val="28"/>
        </w:rPr>
        <w:t>．完善学生体质和学校体育评价机制研究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29</w:t>
      </w:r>
      <w:r>
        <w:rPr>
          <w:rFonts w:hint="eastAsia" w:ascii="方正仿宋_GBK" w:hAnsi="方正仿宋_GBK" w:cs="方正仿宋_GBK"/>
          <w:sz w:val="28"/>
          <w:szCs w:val="28"/>
        </w:rPr>
        <w:t>．中职教育专业建设标准和课程标准研究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30</w:t>
      </w:r>
      <w:r>
        <w:rPr>
          <w:rFonts w:hint="eastAsia" w:ascii="方正仿宋_GBK" w:hAnsi="方正仿宋_GBK" w:cs="方正仿宋_GBK"/>
          <w:sz w:val="28"/>
          <w:szCs w:val="28"/>
        </w:rPr>
        <w:t>．职业教育实训基地建设、运行机制与共享策略研究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31</w:t>
      </w:r>
      <w:r>
        <w:rPr>
          <w:rFonts w:hint="eastAsia" w:ascii="方正仿宋_GBK" w:hAnsi="方正仿宋_GBK" w:cs="方正仿宋_GBK"/>
          <w:sz w:val="28"/>
          <w:szCs w:val="28"/>
        </w:rPr>
        <w:t>．</w:t>
      </w:r>
      <w:r>
        <w:rPr>
          <w:rFonts w:ascii="方正仿宋_GBK" w:hAnsi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</w:rPr>
        <w:t>“双师型”教师成长规律与有效培养的研究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32</w:t>
      </w:r>
      <w:r>
        <w:rPr>
          <w:rFonts w:hint="eastAsia" w:ascii="方正仿宋_GBK" w:hAnsi="方正仿宋_GBK" w:cs="方正仿宋_GBK"/>
          <w:sz w:val="28"/>
          <w:szCs w:val="28"/>
        </w:rPr>
        <w:t>．学校校本教研制度构建与实施研究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33</w:t>
      </w:r>
      <w:r>
        <w:rPr>
          <w:rFonts w:hint="eastAsia" w:ascii="方正仿宋_GBK" w:hAnsi="方正仿宋_GBK" w:cs="方正仿宋_GBK"/>
          <w:sz w:val="28"/>
          <w:szCs w:val="28"/>
        </w:rPr>
        <w:t>．教研共同体（名师工作室、优秀教研组）建设研究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34</w:t>
      </w:r>
      <w:r>
        <w:rPr>
          <w:rFonts w:hint="eastAsia" w:ascii="方正仿宋_GBK" w:hAnsi="方正仿宋_GBK" w:cs="方正仿宋_GBK"/>
          <w:sz w:val="28"/>
          <w:szCs w:val="28"/>
        </w:rPr>
        <w:t>．区域推进校本教研的行动研究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35</w:t>
      </w:r>
      <w:r>
        <w:rPr>
          <w:rFonts w:hint="eastAsia" w:ascii="方正仿宋_GBK" w:hAnsi="方正仿宋_GBK" w:cs="方正仿宋_GBK"/>
          <w:sz w:val="28"/>
          <w:szCs w:val="28"/>
        </w:rPr>
        <w:t>．网络教研实践研究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36.</w:t>
      </w:r>
      <w:r>
        <w:rPr>
          <w:rFonts w:hint="eastAsia" w:ascii="方正仿宋_GBK" w:hAnsi="方正仿宋_GBK" w:cs="方正仿宋_GBK"/>
          <w:sz w:val="28"/>
          <w:szCs w:val="28"/>
        </w:rPr>
        <w:t>“智慧教育”“智慧校园”“智慧课堂”的实践研究</w:t>
      </w:r>
    </w:p>
    <w:p>
      <w:pPr>
        <w:widowControl/>
        <w:shd w:val="clear" w:color="auto" w:fill="FFFFFF"/>
        <w:spacing w:line="600" w:lineRule="atLeast"/>
        <w:ind w:firstLine="640"/>
        <w:jc w:val="center"/>
        <w:rPr>
          <w:rFonts w:ascii="方正仿宋_GBK" w:cs="方正仿宋_GBK"/>
          <w:b/>
          <w:sz w:val="28"/>
          <w:szCs w:val="28"/>
        </w:rPr>
      </w:pPr>
      <w:r>
        <w:rPr>
          <w:rFonts w:hint="eastAsia" w:ascii="方正仿宋_GBK" w:hAnsi="方正仿宋_GBK" w:cs="方正仿宋_GBK"/>
          <w:b/>
          <w:sz w:val="28"/>
          <w:szCs w:val="28"/>
        </w:rPr>
        <w:t>课程与教学研究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color w:val="C00000"/>
          <w:sz w:val="28"/>
          <w:szCs w:val="28"/>
        </w:rPr>
      </w:pPr>
      <w:r>
        <w:rPr>
          <w:rFonts w:ascii="方正仿宋_GBK" w:hAnsi="方正仿宋_GBK" w:cs="方正仿宋_GBK"/>
          <w:color w:val="C00000"/>
          <w:sz w:val="28"/>
          <w:szCs w:val="28"/>
        </w:rPr>
        <w:t>37</w:t>
      </w:r>
      <w:r>
        <w:rPr>
          <w:rFonts w:hint="eastAsia" w:ascii="方正仿宋_GBK" w:hAnsi="方正仿宋_GBK" w:cs="方正仿宋_GBK"/>
          <w:color w:val="C00000"/>
          <w:sz w:val="28"/>
          <w:szCs w:val="28"/>
        </w:rPr>
        <w:t>．基于学科核心素养培养的教学</w:t>
      </w:r>
      <w:bookmarkStart w:id="0" w:name="_GoBack"/>
      <w:bookmarkEnd w:id="0"/>
      <w:r>
        <w:rPr>
          <w:rFonts w:hint="eastAsia" w:ascii="方正仿宋_GBK" w:hAnsi="方正仿宋_GBK" w:cs="方正仿宋_GBK"/>
          <w:color w:val="C00000"/>
          <w:sz w:val="28"/>
          <w:szCs w:val="28"/>
        </w:rPr>
        <w:t>与评价研究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color w:val="C00000"/>
          <w:sz w:val="28"/>
          <w:szCs w:val="28"/>
        </w:rPr>
      </w:pPr>
      <w:r>
        <w:rPr>
          <w:rFonts w:ascii="方正仿宋_GBK" w:hAnsi="方正仿宋_GBK" w:cs="方正仿宋_GBK"/>
          <w:color w:val="C00000"/>
          <w:sz w:val="28"/>
          <w:szCs w:val="28"/>
        </w:rPr>
        <w:t>38</w:t>
      </w:r>
      <w:r>
        <w:rPr>
          <w:rFonts w:hint="eastAsia" w:ascii="方正仿宋_GBK" w:hAnsi="方正仿宋_GBK" w:cs="方正仿宋_GBK"/>
          <w:color w:val="C00000"/>
          <w:sz w:val="28"/>
          <w:szCs w:val="28"/>
        </w:rPr>
        <w:t>．信息技术与教育教学的融合与创新研究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39</w:t>
      </w:r>
      <w:r>
        <w:rPr>
          <w:rFonts w:hint="eastAsia" w:ascii="方正仿宋_GBK" w:hAnsi="方正仿宋_GBK" w:cs="方正仿宋_GBK"/>
          <w:sz w:val="28"/>
          <w:szCs w:val="28"/>
        </w:rPr>
        <w:t>．中小学德育与心理健康教育研究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40</w:t>
      </w:r>
      <w:r>
        <w:rPr>
          <w:rFonts w:hint="eastAsia" w:ascii="方正仿宋_GBK" w:hAnsi="方正仿宋_GBK" w:cs="方正仿宋_GBK"/>
          <w:sz w:val="28"/>
          <w:szCs w:val="28"/>
        </w:rPr>
        <w:t>．德育基地和其他德育资源的有效整合与利用研究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41</w:t>
      </w:r>
      <w:r>
        <w:rPr>
          <w:rFonts w:hint="eastAsia" w:ascii="方正仿宋_GBK" w:hAnsi="方正仿宋_GBK" w:cs="方正仿宋_GBK"/>
          <w:sz w:val="28"/>
          <w:szCs w:val="28"/>
        </w:rPr>
        <w:t>．农村中小学艺体教育资源整合研究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42</w:t>
      </w:r>
      <w:r>
        <w:rPr>
          <w:rFonts w:hint="eastAsia" w:ascii="方正仿宋_GBK" w:hAnsi="方正仿宋_GBK" w:cs="方正仿宋_GBK"/>
          <w:sz w:val="28"/>
          <w:szCs w:val="28"/>
        </w:rPr>
        <w:t>．地方特色资源的课程化开发研究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43</w:t>
      </w:r>
      <w:r>
        <w:rPr>
          <w:rFonts w:hint="eastAsia" w:ascii="方正仿宋_GBK" w:hAnsi="方正仿宋_GBK" w:cs="方正仿宋_GBK"/>
          <w:sz w:val="28"/>
          <w:szCs w:val="28"/>
        </w:rPr>
        <w:t>．综合实践和技术类课程的整合实施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44</w:t>
      </w:r>
      <w:r>
        <w:rPr>
          <w:rFonts w:hint="eastAsia" w:ascii="方正仿宋_GBK" w:hAnsi="方正仿宋_GBK" w:cs="方正仿宋_GBK"/>
          <w:sz w:val="28"/>
          <w:szCs w:val="28"/>
        </w:rPr>
        <w:t>．普通高中模块化教学研究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45</w:t>
      </w:r>
      <w:r>
        <w:rPr>
          <w:rFonts w:hint="eastAsia" w:ascii="方正仿宋_GBK" w:hAnsi="方正仿宋_GBK" w:cs="方正仿宋_GBK"/>
          <w:sz w:val="28"/>
          <w:szCs w:val="28"/>
        </w:rPr>
        <w:t>．中小学体育课程创新模式研究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46</w:t>
      </w:r>
      <w:r>
        <w:rPr>
          <w:rFonts w:hint="eastAsia" w:ascii="方正仿宋_GBK" w:hAnsi="方正仿宋_GBK" w:cs="方正仿宋_GBK"/>
          <w:sz w:val="28"/>
          <w:szCs w:val="28"/>
        </w:rPr>
        <w:t>．校园足球推广模式研究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47</w:t>
      </w:r>
      <w:r>
        <w:rPr>
          <w:rFonts w:hint="eastAsia" w:ascii="方正仿宋_GBK" w:hAnsi="方正仿宋_GBK" w:cs="方正仿宋_GBK"/>
          <w:sz w:val="28"/>
          <w:szCs w:val="28"/>
        </w:rPr>
        <w:t>．中学理科实验操作考试研究与实践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48</w:t>
      </w:r>
      <w:r>
        <w:rPr>
          <w:rFonts w:hint="eastAsia" w:ascii="方正仿宋_GBK" w:hAnsi="方正仿宋_GBK" w:cs="方正仿宋_GBK"/>
          <w:sz w:val="28"/>
          <w:szCs w:val="28"/>
        </w:rPr>
        <w:t>．数字化实验仪器在高中物理实验和教学中的应用研究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49</w:t>
      </w:r>
      <w:r>
        <w:rPr>
          <w:rFonts w:hint="eastAsia" w:ascii="方正仿宋_GBK" w:hAnsi="方正仿宋_GBK" w:cs="方正仿宋_GBK"/>
          <w:sz w:val="28"/>
          <w:szCs w:val="28"/>
        </w:rPr>
        <w:t>．基于新技术新媒体的教学方式创新研究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50</w:t>
      </w:r>
      <w:r>
        <w:rPr>
          <w:rFonts w:hint="eastAsia" w:ascii="方正仿宋_GBK" w:hAnsi="方正仿宋_GBK" w:cs="方正仿宋_GBK"/>
          <w:sz w:val="28"/>
          <w:szCs w:val="28"/>
        </w:rPr>
        <w:t>．“在线课堂”“专递课堂”教学实践研究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51</w:t>
      </w:r>
      <w:r>
        <w:rPr>
          <w:rFonts w:hint="eastAsia" w:ascii="方正仿宋_GBK" w:hAnsi="方正仿宋_GBK" w:cs="方正仿宋_GBK"/>
          <w:sz w:val="28"/>
          <w:szCs w:val="28"/>
        </w:rPr>
        <w:t>．微课（或慕课、翻转课堂）教学实践研究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52</w:t>
      </w:r>
      <w:r>
        <w:rPr>
          <w:rFonts w:hint="eastAsia" w:ascii="方正仿宋_GBK" w:hAnsi="方正仿宋_GBK" w:cs="方正仿宋_GBK"/>
          <w:sz w:val="28"/>
          <w:szCs w:val="28"/>
        </w:rPr>
        <w:t>．</w:t>
      </w:r>
      <w:r>
        <w:rPr>
          <w:rFonts w:hint="eastAsia" w:ascii="寰蒋闆呴粦" w:hAnsi="宋体" w:eastAsia="寰蒋闆呴粦" w:cs="宋体"/>
          <w:color w:val="333333"/>
          <w:kern w:val="0"/>
          <w:sz w:val="28"/>
          <w:szCs w:val="28"/>
        </w:rPr>
        <w:t>特</w:t>
      </w:r>
      <w:r>
        <w:rPr>
          <w:rFonts w:hint="eastAsia" w:ascii="方正仿宋_GBK" w:hAnsi="方正仿宋_GBK" w:cs="方正仿宋_GBK"/>
          <w:sz w:val="28"/>
          <w:szCs w:val="28"/>
        </w:rPr>
        <w:t>殊学校课程建设研究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53</w:t>
      </w:r>
      <w:r>
        <w:rPr>
          <w:rFonts w:hint="eastAsia" w:ascii="方正仿宋_GBK" w:hAnsi="方正仿宋_GBK" w:cs="方正仿宋_GBK"/>
          <w:sz w:val="28"/>
          <w:szCs w:val="28"/>
        </w:rPr>
        <w:t>．学前教育整体课程建设的研究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54</w:t>
      </w:r>
      <w:r>
        <w:rPr>
          <w:rFonts w:hint="eastAsia" w:ascii="方正仿宋_GBK" w:hAnsi="方正仿宋_GBK" w:cs="方正仿宋_GBK"/>
          <w:sz w:val="28"/>
          <w:szCs w:val="28"/>
        </w:rPr>
        <w:t>．不同年龄段幼儿游戏特点及指导策略的研究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55</w:t>
      </w:r>
      <w:r>
        <w:rPr>
          <w:rFonts w:ascii="方正仿宋_GBK" w:cs="方正仿宋_GBK"/>
          <w:sz w:val="28"/>
          <w:szCs w:val="28"/>
        </w:rPr>
        <w:t>.</w:t>
      </w:r>
      <w:r>
        <w:rPr>
          <w:rFonts w:ascii="方正仿宋_GBK" w:hAnsi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</w:rPr>
        <w:t>幼儿园混班制课程与主题活动的研究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56</w:t>
      </w:r>
      <w:r>
        <w:rPr>
          <w:rFonts w:ascii="方正仿宋_GBK" w:cs="方正仿宋_GBK"/>
          <w:sz w:val="28"/>
          <w:szCs w:val="28"/>
        </w:rPr>
        <w:t>.</w:t>
      </w:r>
      <w:r>
        <w:rPr>
          <w:rFonts w:ascii="方正仿宋_GBK" w:hAnsi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</w:rPr>
        <w:t>中高职课程体系衔接的理论与实践研究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57</w:t>
      </w:r>
      <w:r>
        <w:rPr>
          <w:rFonts w:ascii="方正仿宋_GBK" w:cs="方正仿宋_GBK"/>
          <w:sz w:val="28"/>
          <w:szCs w:val="28"/>
        </w:rPr>
        <w:t>.</w:t>
      </w:r>
      <w:r>
        <w:rPr>
          <w:rFonts w:ascii="方正仿宋_GBK" w:hAnsi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cs="方正仿宋_GBK"/>
          <w:sz w:val="28"/>
          <w:szCs w:val="28"/>
        </w:rPr>
        <w:t>信息化背景下职业教育教学资源建设与共享模式研究</w:t>
      </w:r>
    </w:p>
    <w:p>
      <w:pPr>
        <w:widowControl/>
        <w:shd w:val="clear" w:color="auto" w:fill="FFFFFF"/>
        <w:spacing w:line="600" w:lineRule="atLeast"/>
        <w:ind w:firstLine="640"/>
        <w:jc w:val="left"/>
        <w:rPr>
          <w:rFonts w:ascii="方正仿宋_GBK" w:cs="方正仿宋_GBK"/>
          <w:sz w:val="28"/>
          <w:szCs w:val="28"/>
        </w:rPr>
      </w:pPr>
      <w:r>
        <w:rPr>
          <w:rFonts w:ascii="方正仿宋_GBK" w:hAnsi="方正仿宋_GBK" w:cs="方正仿宋_GBK"/>
          <w:sz w:val="28"/>
          <w:szCs w:val="28"/>
        </w:rPr>
        <w:t>58</w:t>
      </w:r>
      <w:r>
        <w:rPr>
          <w:rFonts w:ascii="方正仿宋_GBK" w:cs="方正仿宋_GBK"/>
          <w:sz w:val="28"/>
          <w:szCs w:val="28"/>
        </w:rPr>
        <w:t>.</w:t>
      </w:r>
      <w:r>
        <w:rPr>
          <w:rFonts w:hint="eastAsia" w:ascii="方正仿宋_GBK" w:hAnsi="方正仿宋_GBK" w:cs="方正仿宋_GBK"/>
          <w:sz w:val="28"/>
          <w:szCs w:val="28"/>
        </w:rPr>
        <w:t>中等职业教育公共基础课程建设研究</w:t>
      </w:r>
    </w:p>
    <w:p>
      <w:pPr>
        <w:spacing w:line="6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F4C"/>
    <w:rsid w:val="000504DC"/>
    <w:rsid w:val="00055321"/>
    <w:rsid w:val="00101E49"/>
    <w:rsid w:val="00180BEB"/>
    <w:rsid w:val="001D65BA"/>
    <w:rsid w:val="00632A54"/>
    <w:rsid w:val="00696F4C"/>
    <w:rsid w:val="009F5E05"/>
    <w:rsid w:val="00B526BD"/>
    <w:rsid w:val="00D074ED"/>
    <w:rsid w:val="00E82539"/>
    <w:rsid w:val="00EF6E06"/>
    <w:rsid w:val="21BB748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187</Words>
  <Characters>1067</Characters>
  <Lines>0</Lines>
  <Paragraphs>0</Paragraphs>
  <TotalTime>0</TotalTime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2017-02-13T02:46:00Z</dcterms:created>
  <dc:creator>王贤进</dc:creator>
  <cp:lastModifiedBy>lenovo</cp:lastModifiedBy>
  <dcterms:modified xsi:type="dcterms:W3CDTF">2017-03-07T07:48:04Z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