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E84CD1">
      <w:pPr>
        <w:jc w:val="center"/>
        <w:rPr>
          <w:rFonts w:hint="default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铜陵市第三中学“卓越课堂1123”工程</w:t>
      </w:r>
    </w:p>
    <w:p w14:paraId="5999E6AE">
      <w:pPr>
        <w:pStyle w:val="7"/>
        <w:jc w:val="center"/>
        <w:rPr>
          <w:rFonts w:hint="eastAsia" w:ascii="宋体" w:cs="宋体"/>
          <w:b/>
          <w:bCs/>
          <w:kern w:val="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  <w:t>——</w:t>
      </w:r>
      <w:r>
        <w:rPr>
          <w:rFonts w:hint="eastAsia" w:ascii="方正小标宋简体" w:hAnsi="方正小标宋简体" w:eastAsia="方正小标宋简体" w:cs="方正小标宋简体"/>
          <w:sz w:val="30"/>
          <w:szCs w:val="30"/>
        </w:rPr>
        <w:t>集体备课</w:t>
      </w:r>
      <w: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  <w:t>教学设计</w:t>
      </w:r>
    </w:p>
    <w:tbl>
      <w:tblPr>
        <w:tblStyle w:val="9"/>
        <w:tblpPr w:leftFromText="180" w:rightFromText="180" w:vertAnchor="text" w:horzAnchor="page" w:tblpX="1117" w:tblpY="184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353"/>
        <w:gridCol w:w="1783"/>
        <w:gridCol w:w="1185"/>
        <w:gridCol w:w="1857"/>
        <w:gridCol w:w="1676"/>
        <w:gridCol w:w="1287"/>
        <w:gridCol w:w="1193"/>
      </w:tblGrid>
      <w:tr w14:paraId="72846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2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B4DBA7">
            <w:pPr>
              <w:jc w:val="center"/>
              <w:rPr>
                <w:rFonts w:hint="eastAsia" w:ascii="仿宋_GB2312" w:eastAsia="仿宋_GB2312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  <w:lang w:eastAsia="zh-CN"/>
              </w:rPr>
              <w:t>课题</w:t>
            </w:r>
          </w:p>
        </w:tc>
        <w:tc>
          <w:tcPr>
            <w:tcW w:w="898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64BB9C">
            <w:pPr>
              <w:jc w:val="center"/>
              <w:rPr>
                <w:rFonts w:hint="eastAsia" w:ascii="仿宋_GB2312" w:eastAsia="宋体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</w:rPr>
              <w:t>.</w:t>
            </w: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</w:rPr>
              <w:t>.</w:t>
            </w: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lang w:val="en-US" w:eastAsia="zh-CN"/>
              </w:rPr>
              <w:t>1等差数列的概念</w:t>
            </w: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人教版A版高中数学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选择性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必修第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册第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章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eastAsia="zh-CN"/>
              </w:rPr>
              <w:t>）</w:t>
            </w:r>
          </w:p>
        </w:tc>
      </w:tr>
      <w:tr w14:paraId="6BBBC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2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F93414">
            <w:pPr>
              <w:jc w:val="center"/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  <w:t>备课组</w:t>
            </w:r>
          </w:p>
        </w:tc>
        <w:tc>
          <w:tcPr>
            <w:tcW w:w="1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732D0A">
            <w:pPr>
              <w:jc w:val="center"/>
              <w:rPr>
                <w:rFonts w:hint="eastAsia" w:ascii="仿宋_GB2312" w:eastAsia="仿宋_GB2312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  <w:lang w:eastAsia="zh-CN"/>
              </w:rPr>
              <w:t>高</w:t>
            </w: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  <w:lang w:eastAsia="zh-CN"/>
              </w:rPr>
              <w:t>数学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52DF96">
            <w:pPr>
              <w:jc w:val="center"/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  <w:t>备课时间</w:t>
            </w:r>
          </w:p>
        </w:tc>
        <w:tc>
          <w:tcPr>
            <w:tcW w:w="48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8D3E2B">
            <w:pPr>
              <w:jc w:val="center"/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  <w:lang w:val="en-US" w:eastAsia="zh-CN"/>
              </w:rPr>
              <w:t>2025</w:t>
            </w: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  <w:t xml:space="preserve">年 </w:t>
            </w: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  <w:lang w:val="en-US" w:eastAsia="zh-CN"/>
              </w:rPr>
              <w:t xml:space="preserve">10 </w:t>
            </w: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  <w:t>月</w:t>
            </w: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  <w:lang w:val="en-US" w:eastAsia="zh-CN"/>
              </w:rPr>
              <w:t xml:space="preserve"> 21 </w:t>
            </w: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  <w:t>日</w:t>
            </w:r>
          </w:p>
        </w:tc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4AED0A">
            <w:pPr>
              <w:jc w:val="center"/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</w:pPr>
          </w:p>
        </w:tc>
      </w:tr>
      <w:tr w14:paraId="7C30F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2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858DA">
            <w:pPr>
              <w:jc w:val="center"/>
              <w:rPr>
                <w:rFonts w:hint="eastAsia" w:ascii="仿宋_GB2312" w:eastAsia="仿宋_GB2312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  <w:t>主备</w:t>
            </w: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  <w:lang w:eastAsia="zh-CN"/>
              </w:rPr>
              <w:t>教师</w:t>
            </w:r>
          </w:p>
        </w:tc>
        <w:tc>
          <w:tcPr>
            <w:tcW w:w="1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851C2D">
            <w:pPr>
              <w:jc w:val="center"/>
              <w:rPr>
                <w:rFonts w:hint="default" w:ascii="仿宋_GB2312" w:eastAsia="仿宋_GB2312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  <w:lang w:val="en-US" w:eastAsia="zh-CN"/>
              </w:rPr>
              <w:t>许平方真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AEFF92">
            <w:pPr>
              <w:jc w:val="center"/>
              <w:rPr>
                <w:rFonts w:hint="eastAsia" w:ascii="仿宋_GB2312" w:eastAsia="仿宋_GB2312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  <w:lang w:eastAsia="zh-CN"/>
              </w:rPr>
              <w:t>指导教师</w:t>
            </w:r>
          </w:p>
        </w:tc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1BF1E6">
            <w:pPr>
              <w:jc w:val="center"/>
              <w:rPr>
                <w:rFonts w:hint="eastAsia" w:ascii="仿宋_GB2312" w:eastAsia="仿宋_GB2312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  <w:lang w:val="en-US" w:eastAsia="zh-CN"/>
              </w:rPr>
              <w:t>程江海</w:t>
            </w:r>
          </w:p>
        </w:tc>
        <w:tc>
          <w:tcPr>
            <w:tcW w:w="29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575824">
            <w:pPr>
              <w:jc w:val="center"/>
              <w:rPr>
                <w:rFonts w:hint="eastAsia" w:ascii="仿宋_GB2312" w:eastAsia="仿宋_GB2312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  <w:lang w:val="en-US" w:eastAsia="zh-CN"/>
              </w:rPr>
              <w:t>复备</w:t>
            </w: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  <w:lang w:eastAsia="zh-CN"/>
              </w:rPr>
              <w:t>人</w:t>
            </w:r>
          </w:p>
        </w:tc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2BE31E">
            <w:pPr>
              <w:jc w:val="center"/>
              <w:rPr>
                <w:rFonts w:hint="eastAsia" w:ascii="宋体" w:hAnsi="宋体"/>
                <w:b/>
                <w:bCs w:val="0"/>
                <w:sz w:val="24"/>
                <w:szCs w:val="24"/>
              </w:rPr>
            </w:pPr>
          </w:p>
        </w:tc>
      </w:tr>
      <w:tr w14:paraId="261B5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8" w:hRule="atLeast"/>
        </w:trPr>
        <w:tc>
          <w:tcPr>
            <w:tcW w:w="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A3453A">
            <w:pP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  <w:lang w:val="en-US" w:eastAsia="zh-CN"/>
              </w:rPr>
              <w:t>教材与单元</w:t>
            </w: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  <w:t>教学内容分析</w:t>
            </w:r>
          </w:p>
        </w:tc>
        <w:tc>
          <w:tcPr>
            <w:tcW w:w="933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C1C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仿宋_GB2312" w:eastAsia="仿宋_GB2312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等差数列是一种具有特殊变化规律的数列，是定义在正整数集上的线性离散型函数，是反映运算规律的基本数学模型，在现实生活中有着广泛应用.等差数列的通项公式与前n项和公式是等差数列的重要性质.公式的探究与推导，是以等差数列的特征性质为依据,这是从概念到性质再到应用的过程.实际上，公式推导过程中，方法的探寻要有根有据，这个根据就是数列的“等差性”和“对称性”,由此找到了前n项的“平均数”,从而实现了由加法到乘法的化归，也就是把不同数相加转化为相同数(即平均数)的自相加.一个数列如果没有“等差”这个特性，就不能直接用这种方法实现转化.可见，“把不同数的求和转化为相同数的求和”的运算方法，既是“倒序相加法”产生的基本线索，又是等差数列求和方法的认知基础，由“等差”所决定的运算中的规律性就是等差数列的本质特征.</w:t>
            </w:r>
          </w:p>
        </w:tc>
      </w:tr>
      <w:tr w14:paraId="5F793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805E3">
            <w:pPr>
              <w:jc w:val="center"/>
              <w:rPr>
                <w:rFonts w:hint="eastAsia" w:ascii="仿宋_GB2312" w:eastAsia="仿宋_GB2312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  <w:lang w:eastAsia="zh-CN"/>
              </w:rPr>
              <w:t>教</w:t>
            </w:r>
          </w:p>
          <w:p w14:paraId="5114573B">
            <w:pPr>
              <w:jc w:val="center"/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  <w:t>学</w:t>
            </w:r>
          </w:p>
          <w:p w14:paraId="0322B076">
            <w:pPr>
              <w:jc w:val="center"/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  <w:t>目</w:t>
            </w:r>
          </w:p>
          <w:p w14:paraId="6796F34A">
            <w:pPr>
              <w:jc w:val="center"/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  <w:t>标</w:t>
            </w:r>
          </w:p>
        </w:tc>
        <w:tc>
          <w:tcPr>
            <w:tcW w:w="933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39F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1.通过生活中的实例，理解等差数列的概念和通项公式的意义.</w:t>
            </w:r>
          </w:p>
          <w:p w14:paraId="5ACD07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2.探索并掌握等差数列的前n项和公式，理解等差数列的通项公式与前n项和公式的关系.</w:t>
            </w:r>
          </w:p>
          <w:p w14:paraId="43F5D6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3.能在具体的问题情境中，发现数列的等差关系，并解决相应的问题.</w:t>
            </w:r>
          </w:p>
          <w:p w14:paraId="421C86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仿宋_GB2312" w:eastAsia="仿宋_GB2312"/>
                <w:b/>
                <w:bCs w:val="0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4.体会等差数列与一元一次函数的关系.</w:t>
            </w:r>
          </w:p>
        </w:tc>
      </w:tr>
      <w:tr w14:paraId="2723F4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7" w:hRule="atLeast"/>
        </w:trPr>
        <w:tc>
          <w:tcPr>
            <w:tcW w:w="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01C7E7">
            <w:pP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  <w:t>教学策略选择与设计</w:t>
            </w:r>
          </w:p>
        </w:tc>
        <w:tc>
          <w:tcPr>
            <w:tcW w:w="933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4071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类比研究函数的思路，学习了数列的概念后，就要对一些具有特殊变化规律的数列进行研究，这是学生对数列知识的认知路径.在学习等差数列之前，学生已经了解了数列的概念、表示方法以及通项公式和数列的前n项和的概念，知道“数列是一种特殊的函数”,这些知识经验能够帮助学生分析等差数列的变化规律.</w:t>
            </w:r>
          </w:p>
        </w:tc>
      </w:tr>
      <w:tr w14:paraId="3C65D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</w:trPr>
        <w:tc>
          <w:tcPr>
            <w:tcW w:w="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894D08">
            <w:pPr>
              <w:jc w:val="distribute"/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  <w:t>重点难点</w:t>
            </w:r>
          </w:p>
        </w:tc>
        <w:tc>
          <w:tcPr>
            <w:tcW w:w="933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1CAC87">
            <w:pPr>
              <w:pStyle w:val="4"/>
              <w:tabs>
                <w:tab w:val="left" w:pos="3119"/>
              </w:tabs>
              <w:spacing w:line="240" w:lineRule="auto"/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  <w:t>教学重点：</w:t>
            </w: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>等差数列的概念．</w:t>
            </w:r>
          </w:p>
          <w:p w14:paraId="1E9DA566">
            <w:pPr>
              <w:pStyle w:val="4"/>
              <w:tabs>
                <w:tab w:val="left" w:pos="3119"/>
              </w:tabs>
              <w:spacing w:line="240" w:lineRule="auto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  <w:t>教学难点：</w:t>
            </w: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>等差数列通项公式的推导．</w:t>
            </w:r>
          </w:p>
        </w:tc>
      </w:tr>
      <w:tr w14:paraId="5D9CB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ACA20">
            <w:pP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</w:pPr>
          </w:p>
        </w:tc>
        <w:tc>
          <w:tcPr>
            <w:tcW w:w="68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B7C6AE">
            <w:pPr>
              <w:jc w:val="center"/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  <w:t>教师活动</w:t>
            </w:r>
          </w:p>
        </w:tc>
        <w:tc>
          <w:tcPr>
            <w:tcW w:w="1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94EE2C">
            <w:pPr>
              <w:jc w:val="center"/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  <w:t>学生活动</w:t>
            </w:r>
          </w:p>
        </w:tc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83F48F">
            <w:pPr>
              <w:jc w:val="center"/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 w:val="0"/>
                <w:sz w:val="24"/>
                <w:szCs w:val="24"/>
              </w:rPr>
              <w:t>复备记录</w:t>
            </w:r>
          </w:p>
        </w:tc>
      </w:tr>
      <w:tr w14:paraId="2A1F3A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0" w:hRule="atLeast"/>
        </w:trPr>
        <w:tc>
          <w:tcPr>
            <w:tcW w:w="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5FEFD7">
            <w:pPr>
              <w:jc w:val="center"/>
              <w:rPr>
                <w:rFonts w:hint="eastAsia" w:ascii="仿宋_GB2312" w:eastAsia="仿宋_GB2312"/>
                <w:b/>
                <w:sz w:val="24"/>
                <w:szCs w:val="24"/>
                <w:lang w:eastAsia="zh-CN"/>
              </w:rPr>
            </w:pPr>
          </w:p>
          <w:p w14:paraId="1B124F80">
            <w:pPr>
              <w:jc w:val="center"/>
              <w:rPr>
                <w:rFonts w:hint="eastAsia" w:ascii="仿宋_GB2312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>教</w:t>
            </w:r>
          </w:p>
          <w:p w14:paraId="6975AB36">
            <w:pPr>
              <w:jc w:val="center"/>
              <w:rPr>
                <w:rFonts w:hint="eastAsia" w:ascii="仿宋_GB2312" w:eastAsia="仿宋_GB2312"/>
                <w:b/>
                <w:sz w:val="24"/>
                <w:szCs w:val="24"/>
              </w:rPr>
            </w:pPr>
          </w:p>
          <w:p w14:paraId="5C0DD782">
            <w:pPr>
              <w:jc w:val="center"/>
              <w:rPr>
                <w:rFonts w:hint="eastAsia" w:ascii="仿宋_GB2312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>学</w:t>
            </w:r>
          </w:p>
          <w:p w14:paraId="3A516364">
            <w:pPr>
              <w:jc w:val="center"/>
              <w:rPr>
                <w:rFonts w:hint="eastAsia" w:ascii="仿宋_GB2312" w:eastAsia="仿宋_GB2312"/>
                <w:b/>
                <w:sz w:val="24"/>
                <w:szCs w:val="24"/>
              </w:rPr>
            </w:pPr>
          </w:p>
          <w:p w14:paraId="365BB916">
            <w:pPr>
              <w:jc w:val="center"/>
              <w:rPr>
                <w:rFonts w:hint="eastAsia" w:ascii="仿宋_GB2312" w:eastAsia="仿宋_GB2312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eastAsia="zh-CN"/>
              </w:rPr>
              <w:t>过</w:t>
            </w:r>
          </w:p>
          <w:p w14:paraId="0A4ED4DE">
            <w:pPr>
              <w:jc w:val="center"/>
              <w:rPr>
                <w:rFonts w:hint="eastAsia" w:ascii="仿宋_GB2312" w:eastAsia="仿宋_GB2312"/>
                <w:b/>
                <w:sz w:val="24"/>
                <w:szCs w:val="24"/>
              </w:rPr>
            </w:pPr>
          </w:p>
          <w:p w14:paraId="7D706EA1">
            <w:pPr>
              <w:jc w:val="center"/>
              <w:rPr>
                <w:rFonts w:hint="eastAsia" w:ascii="仿宋_GB2312" w:eastAsia="仿宋_GB2312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eastAsia="zh-CN"/>
              </w:rPr>
              <w:t>程</w:t>
            </w:r>
          </w:p>
        </w:tc>
        <w:tc>
          <w:tcPr>
            <w:tcW w:w="68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29FD76">
            <w:pPr>
              <w:pStyle w:val="15"/>
              <w:keepNext/>
              <w:keepLines/>
              <w:pageBreakBefore w:val="0"/>
              <w:widowControl w:val="0"/>
              <w:numPr>
                <w:ilvl w:val="0"/>
                <w:numId w:val="0"/>
              </w:numPr>
              <w:tabs>
                <w:tab w:val="left" w:pos="6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仿宋_GB2312" w:hAnsi="Times New Roman" w:eastAsia="仿宋_GB2312" w:cs="Times New Roman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一、导入新知</w:t>
            </w:r>
          </w:p>
          <w:p w14:paraId="2B6CF072">
            <w:pPr>
              <w:pStyle w:val="15"/>
              <w:keepNext/>
              <w:keepLines/>
              <w:pageBreakBefore w:val="0"/>
              <w:widowControl w:val="0"/>
              <w:numPr>
                <w:ilvl w:val="0"/>
                <w:numId w:val="0"/>
              </w:numPr>
              <w:tabs>
                <w:tab w:val="left" w:pos="6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</w:pPr>
            <w:bookmarkStart w:id="0" w:name="_GoBack"/>
            <w:r>
              <w:drawing>
                <wp:inline distT="0" distB="0" distL="114300" distR="114300">
                  <wp:extent cx="3384550" cy="1686560"/>
                  <wp:effectExtent l="0" t="0" r="635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5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23576055">
            <w:pPr>
              <w:spacing w:line="400" w:lineRule="exact"/>
            </w:pPr>
          </w:p>
          <w:p w14:paraId="7DB6F2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12" w:lineRule="auto"/>
              <w:textAlignment w:val="baseline"/>
              <w:rPr>
                <w:rFonts w:hint="eastAsia" w:ascii="仿宋_GB2312" w:eastAsia="仿宋_GB2312" w:cs="Times New Roman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3017520" cy="1435100"/>
                  <wp:effectExtent l="0" t="0" r="5080" b="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2BB4B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仿宋_GB2312" w:eastAsia="仿宋_GB2312" w:cs="Times New Roman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二</w:t>
            </w:r>
            <w:r>
              <w:rPr>
                <w:rFonts w:hint="eastAsia" w:ascii="仿宋_GB2312" w:hAnsi="Times New Roman" w:eastAsia="仿宋_GB2312" w:cs="Times New Roman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、</w:t>
            </w:r>
            <w:r>
              <w:rPr>
                <w:rFonts w:hint="eastAsia" w:ascii="仿宋_GB2312" w:eastAsia="仿宋_GB2312" w:cs="Times New Roman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新知探究</w:t>
            </w:r>
          </w:p>
          <w:p w14:paraId="4873F312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jc w:val="both"/>
              <w:textAlignment w:val="baseline"/>
            </w:pPr>
            <w:r>
              <w:drawing>
                <wp:inline distT="0" distB="0" distL="114300" distR="114300">
                  <wp:extent cx="3054350" cy="1378585"/>
                  <wp:effectExtent l="0" t="0" r="6350" b="571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AF0DF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jc w:val="both"/>
              <w:textAlignment w:val="baseline"/>
            </w:pPr>
            <w:r>
              <w:drawing>
                <wp:inline distT="0" distB="0" distL="114300" distR="114300">
                  <wp:extent cx="3036570" cy="1702435"/>
                  <wp:effectExtent l="0" t="0" r="11430" b="12065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570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B3481C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jc w:val="both"/>
              <w:textAlignment w:val="baseline"/>
            </w:pPr>
            <w:r>
              <w:drawing>
                <wp:inline distT="0" distB="0" distL="114300" distR="114300">
                  <wp:extent cx="3004820" cy="1741805"/>
                  <wp:effectExtent l="0" t="0" r="5080" b="10795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82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79F652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jc w:val="both"/>
              <w:textAlignment w:val="baseline"/>
            </w:pPr>
            <w:r>
              <w:drawing>
                <wp:inline distT="0" distB="0" distL="114300" distR="114300">
                  <wp:extent cx="3011170" cy="1595120"/>
                  <wp:effectExtent l="0" t="0" r="11430" b="5080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170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F832A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jc w:val="both"/>
              <w:textAlignment w:val="baseline"/>
            </w:pPr>
            <w:r>
              <w:drawing>
                <wp:inline distT="0" distB="0" distL="114300" distR="114300">
                  <wp:extent cx="3085465" cy="1526540"/>
                  <wp:effectExtent l="0" t="0" r="635" b="1016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6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58592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127375" cy="1155700"/>
                  <wp:effectExtent l="0" t="0" r="9525" b="0"/>
                  <wp:docPr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37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707A7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109595" cy="1174750"/>
                  <wp:effectExtent l="0" t="0" r="1905" b="6350"/>
                  <wp:docPr id="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9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92047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122930" cy="1606550"/>
                  <wp:effectExtent l="0" t="0" r="1270" b="6350"/>
                  <wp:docPr id="1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93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890E1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124835" cy="1512570"/>
                  <wp:effectExtent l="0" t="0" r="12065" b="11430"/>
                  <wp:docPr id="1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3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4CC02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187065" cy="1382395"/>
                  <wp:effectExtent l="0" t="0" r="635" b="1905"/>
                  <wp:docPr id="1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9CE95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仿宋_GB2312" w:eastAsia="仿宋_GB2312" w:cs="Times New Roman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3171825" cy="1431290"/>
                  <wp:effectExtent l="0" t="0" r="3175" b="3810"/>
                  <wp:docPr id="1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9F9A95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仿宋_GB2312" w:eastAsia="仿宋_GB2312" w:cs="Times New Roman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3168015" cy="1701800"/>
                  <wp:effectExtent l="0" t="0" r="6985" b="0"/>
                  <wp:docPr id="1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1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83359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仿宋_GB2312" w:eastAsia="仿宋_GB2312" w:cs="Times New Roman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三</w:t>
            </w:r>
            <w:r>
              <w:rPr>
                <w:rFonts w:hint="eastAsia" w:ascii="仿宋_GB2312" w:hAnsi="Times New Roman" w:eastAsia="仿宋_GB2312" w:cs="Times New Roman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、</w:t>
            </w:r>
            <w:r>
              <w:rPr>
                <w:rFonts w:hint="eastAsia" w:ascii="仿宋_GB2312" w:eastAsia="仿宋_GB2312" w:cs="Times New Roman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练习巩固</w:t>
            </w:r>
          </w:p>
          <w:p w14:paraId="1720C1B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12" w:lineRule="auto"/>
            </w:pPr>
            <w:r>
              <w:drawing>
                <wp:inline distT="0" distB="0" distL="114300" distR="114300">
                  <wp:extent cx="3761740" cy="233045"/>
                  <wp:effectExtent l="0" t="0" r="10160" b="8255"/>
                  <wp:docPr id="1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74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122805" cy="179070"/>
                  <wp:effectExtent l="0" t="0" r="10795" b="11430"/>
                  <wp:docPr id="1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E3BA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12" w:lineRule="auto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526790" cy="168275"/>
                  <wp:effectExtent l="0" t="0" r="3810" b="9525"/>
                  <wp:docPr id="2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79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04974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12" w:lineRule="auto"/>
              <w:rPr>
                <w:rFonts w:hint="eastAsia" w:ascii="仿宋_GB2312" w:hAnsi="Times New Roman" w:eastAsia="仿宋_GB2312" w:cs="Times New Roman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 w:cs="Times New Roman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深化新知</w:t>
            </w:r>
          </w:p>
          <w:p w14:paraId="0B17CCF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12" w:lineRule="auto"/>
            </w:pPr>
            <w:r>
              <w:drawing>
                <wp:inline distT="0" distB="0" distL="114300" distR="114300">
                  <wp:extent cx="3387090" cy="412115"/>
                  <wp:effectExtent l="0" t="0" r="3810" b="6985"/>
                  <wp:docPr id="2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09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5C293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12" w:lineRule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3331845" cy="634365"/>
                  <wp:effectExtent l="0" t="0" r="8255" b="635"/>
                  <wp:docPr id="2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84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E8F10A">
            <w:pPr>
              <w:rPr>
                <w:rFonts w:hint="eastAsia" w:ascii="仿宋_GB2312" w:eastAsia="仿宋_GB2312"/>
                <w:b w:val="0"/>
                <w:bCs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7F0C7E">
            <w:pPr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</w:p>
        </w:tc>
      </w:tr>
      <w:tr w14:paraId="0195E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ED4DD1">
            <w:pPr>
              <w:jc w:val="center"/>
              <w:rPr>
                <w:rFonts w:hint="eastAsia" w:ascii="仿宋_GB2312" w:eastAsia="仿宋_GB2312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/>
                <w:b/>
                <w:sz w:val="24"/>
                <w:szCs w:val="24"/>
                <w:lang w:eastAsia="zh-CN"/>
              </w:rPr>
              <w:t>课堂总结</w:t>
            </w:r>
          </w:p>
        </w:tc>
        <w:tc>
          <w:tcPr>
            <w:tcW w:w="68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C4BA8C">
            <w:pPr>
              <w:numPr>
                <w:ilvl w:val="0"/>
                <w:numId w:val="0"/>
              </w:numPr>
            </w:pPr>
            <w:r>
              <w:drawing>
                <wp:inline distT="0" distB="0" distL="114300" distR="114300">
                  <wp:extent cx="3488055" cy="1456690"/>
                  <wp:effectExtent l="0" t="0" r="4445" b="3810"/>
                  <wp:docPr id="2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5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8CB498"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</w:p>
        </w:tc>
        <w:tc>
          <w:tcPr>
            <w:tcW w:w="1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A44C42">
            <w:pPr>
              <w:rPr>
                <w:rFonts w:hint="eastAsia" w:ascii="仿宋_GB2312" w:eastAsia="仿宋_GB2312"/>
                <w:b w:val="0"/>
                <w:bCs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D979EE">
            <w:pPr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</w:p>
        </w:tc>
      </w:tr>
      <w:tr w14:paraId="4BEA9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4" w:hRule="atLeast"/>
        </w:trPr>
        <w:tc>
          <w:tcPr>
            <w:tcW w:w="0" w:type="auto"/>
            <w:shd w:val="clear" w:color="auto" w:fill="auto"/>
            <w:vAlign w:val="center"/>
          </w:tcPr>
          <w:p w14:paraId="7D3A241E">
            <w:pPr>
              <w:jc w:val="center"/>
              <w:rPr>
                <w:rFonts w:hint="eastAsia" w:ascii="宋体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/>
                <w:b/>
                <w:sz w:val="24"/>
                <w:szCs w:val="24"/>
              </w:rPr>
              <w:t>教学反思</w:t>
            </w:r>
          </w:p>
        </w:tc>
        <w:tc>
          <w:tcPr>
            <w:tcW w:w="0" w:type="auto"/>
            <w:gridSpan w:val="7"/>
            <w:shd w:val="clear" w:color="auto" w:fill="auto"/>
            <w:vAlign w:val="top"/>
          </w:tcPr>
          <w:p w14:paraId="19DF3ECE">
            <w:pPr>
              <w:rPr>
                <w:rFonts w:hint="eastAsia" w:ascii="宋体" w:hAnsi="宋体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2BB2650C">
      <w:pPr>
        <w:keepNext w:val="0"/>
        <w:keepLines w:val="0"/>
        <w:pageBreakBefore w:val="0"/>
        <w:widowControl w:val="0"/>
        <w:tabs>
          <w:tab w:val="left" w:pos="16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jc w:val="left"/>
        <w:textAlignment w:val="auto"/>
        <w:rPr>
          <w:rFonts w:hint="eastAsia" w:ascii="宋体"/>
          <w:b/>
          <w:sz w:val="24"/>
          <w:szCs w:val="24"/>
        </w:rPr>
      </w:pP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1906" w:h="16838"/>
      <w:pgMar w:top="851" w:right="851" w:bottom="851" w:left="85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E81E67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4D15C9CA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zql5uc8AAAAFAQAADwAA&#10;AAAAAAABACAAAAAiAAAAZHJzL2Rvd25yZXYueG1sUEsBAhQAFAAAAAgAh07iQG2eWGTmAQAAxwMA&#10;AA4AAAAAAAAAAQAgAAAAHgEAAGRycy9lMm9Eb2MueG1sUEsFBgAAAAAGAAYAWQEAAH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D15C9CA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E398E9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3FCC58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1919CC">
    <w:pPr>
      <w:pStyle w:val="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74517"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1085A1"/>
    <w:multiLevelType w:val="singleLevel"/>
    <w:tmpl w:val="B51085A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sImhkaWQiOiIxMDIzMmQ4Y2IwMTJkNDMzYWQ0Yzg4MmZkYTg0NzMwMyIsInVzZXJDb3VudCI6N30="/>
  </w:docVars>
  <w:rsids>
    <w:rsidRoot w:val="4D023415"/>
    <w:rsid w:val="0004166F"/>
    <w:rsid w:val="000F3E4D"/>
    <w:rsid w:val="00155FAD"/>
    <w:rsid w:val="00257437"/>
    <w:rsid w:val="002622B6"/>
    <w:rsid w:val="002F245F"/>
    <w:rsid w:val="00305A2D"/>
    <w:rsid w:val="00430C0E"/>
    <w:rsid w:val="00583224"/>
    <w:rsid w:val="005E60D5"/>
    <w:rsid w:val="006F217E"/>
    <w:rsid w:val="006F5985"/>
    <w:rsid w:val="00822D57"/>
    <w:rsid w:val="00825ADC"/>
    <w:rsid w:val="00862595"/>
    <w:rsid w:val="008C6D65"/>
    <w:rsid w:val="00965F9F"/>
    <w:rsid w:val="00A976E8"/>
    <w:rsid w:val="00AB480E"/>
    <w:rsid w:val="00B46758"/>
    <w:rsid w:val="00B55411"/>
    <w:rsid w:val="00C02347"/>
    <w:rsid w:val="00C91686"/>
    <w:rsid w:val="00C97B57"/>
    <w:rsid w:val="00CD2D10"/>
    <w:rsid w:val="00CD5331"/>
    <w:rsid w:val="00D31B88"/>
    <w:rsid w:val="00DD5E46"/>
    <w:rsid w:val="00F42ACF"/>
    <w:rsid w:val="00F80DC4"/>
    <w:rsid w:val="00FD4D5B"/>
    <w:rsid w:val="00FE21EF"/>
    <w:rsid w:val="01C10392"/>
    <w:rsid w:val="030A4D0B"/>
    <w:rsid w:val="05122A1B"/>
    <w:rsid w:val="0F607C6B"/>
    <w:rsid w:val="0F6C355D"/>
    <w:rsid w:val="132E60B3"/>
    <w:rsid w:val="15013465"/>
    <w:rsid w:val="162740C5"/>
    <w:rsid w:val="1861003F"/>
    <w:rsid w:val="18E71174"/>
    <w:rsid w:val="1CA64593"/>
    <w:rsid w:val="1D842514"/>
    <w:rsid w:val="1F2550B6"/>
    <w:rsid w:val="21382D59"/>
    <w:rsid w:val="21A63F70"/>
    <w:rsid w:val="21AE6001"/>
    <w:rsid w:val="26150824"/>
    <w:rsid w:val="265F7C0A"/>
    <w:rsid w:val="29725C10"/>
    <w:rsid w:val="2A86675F"/>
    <w:rsid w:val="31FF7A5E"/>
    <w:rsid w:val="335F3C12"/>
    <w:rsid w:val="344C05D6"/>
    <w:rsid w:val="363F5802"/>
    <w:rsid w:val="36771BA1"/>
    <w:rsid w:val="370D16D3"/>
    <w:rsid w:val="370D5F33"/>
    <w:rsid w:val="3C6C1F2B"/>
    <w:rsid w:val="3CEE096C"/>
    <w:rsid w:val="3E302814"/>
    <w:rsid w:val="400D31D4"/>
    <w:rsid w:val="40CB61E5"/>
    <w:rsid w:val="451B01D2"/>
    <w:rsid w:val="46422040"/>
    <w:rsid w:val="478A32F2"/>
    <w:rsid w:val="49891591"/>
    <w:rsid w:val="4C331B64"/>
    <w:rsid w:val="4CCC75F4"/>
    <w:rsid w:val="4D023415"/>
    <w:rsid w:val="4E486D1B"/>
    <w:rsid w:val="527E1627"/>
    <w:rsid w:val="548F613D"/>
    <w:rsid w:val="610B61E7"/>
    <w:rsid w:val="61C91A02"/>
    <w:rsid w:val="63971C79"/>
    <w:rsid w:val="68833AF8"/>
    <w:rsid w:val="69023067"/>
    <w:rsid w:val="6C9511FC"/>
    <w:rsid w:val="6D17288C"/>
    <w:rsid w:val="6F7E37D9"/>
    <w:rsid w:val="70F81FF6"/>
    <w:rsid w:val="72671C77"/>
    <w:rsid w:val="73E97B4F"/>
    <w:rsid w:val="778B7C09"/>
    <w:rsid w:val="7B0C7395"/>
    <w:rsid w:val="7B685CC7"/>
    <w:rsid w:val="7D10332F"/>
    <w:rsid w:val="7D412A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before="180" w:after="180"/>
    </w:pPr>
  </w:style>
  <w:style w:type="paragraph" w:styleId="4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5">
    <w:name w:val="Body Text Indent 2"/>
    <w:basedOn w:val="1"/>
    <w:qFormat/>
    <w:uiPriority w:val="0"/>
    <w:pPr>
      <w:ind w:left="359" w:leftChars="171" w:firstLine="560" w:firstLineChars="200"/>
    </w:pPr>
    <w:rPr>
      <w:sz w:val="28"/>
      <w:szCs w:val="24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8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cs="宋体"/>
      <w:sz w:val="24"/>
      <w:szCs w:val="24"/>
      <w:lang w:bidi="ar-SA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page number"/>
    <w:basedOn w:val="11"/>
    <w:qFormat/>
    <w:uiPriority w:val="0"/>
  </w:style>
  <w:style w:type="character" w:styleId="13">
    <w:name w:val="FollowedHyperlink"/>
    <w:basedOn w:val="11"/>
    <w:qFormat/>
    <w:uiPriority w:val="0"/>
    <w:rPr>
      <w:color w:val="703DFF"/>
      <w:u w:val="single"/>
    </w:rPr>
  </w:style>
  <w:style w:type="character" w:styleId="14">
    <w:name w:val="Hyperlink"/>
    <w:basedOn w:val="11"/>
    <w:qFormat/>
    <w:uiPriority w:val="0"/>
    <w:rPr>
      <w:color w:val="00B200"/>
      <w:u w:val="single"/>
    </w:rPr>
  </w:style>
  <w:style w:type="paragraph" w:customStyle="1" w:styleId="15">
    <w:name w:val="标题 #6"/>
    <w:basedOn w:val="1"/>
    <w:autoRedefine/>
    <w:qFormat/>
    <w:uiPriority w:val="0"/>
    <w:pPr>
      <w:spacing w:line="379" w:lineRule="auto"/>
      <w:ind w:firstLine="420"/>
      <w:outlineLvl w:val="5"/>
    </w:pPr>
    <w:rPr>
      <w:rFonts w:ascii="宋体" w:hAnsi="宋体" w:eastAsia="宋体" w:cs="宋体"/>
      <w:b/>
      <w:bCs/>
      <w:color w:val="5371B4"/>
      <w:sz w:val="20"/>
      <w:szCs w:val="20"/>
      <w:lang w:val="zh-CN" w:bidi="zh-CN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7">
    <w:name w:val="First Paragraph"/>
    <w:basedOn w:val="3"/>
    <w:next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3457;&#22914;&#24515;&#35821;-&#28023;\Desktop\d224f85c1a37280a1c2d2bc9a532fa69\&#25945;&#31185;&#29256;&#20843;&#24180;&#32423;&#29289;&#29702;&#19978;&#20876;6.2&#12298;&#29289;&#36136;&#30340;&#23494;&#24230;&#12299;&#38598;&#20307;&#22791;&#35838;&#25945;&#26696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教科版八年级物理上册6.2《物质的密度》集体备课教案.doc</Template>
  <Pages>4</Pages>
  <Words>806</Words>
  <Characters>822</Characters>
  <TotalTime>26</TotalTime>
  <ScaleCrop>false</ScaleCrop>
  <LinksUpToDate>false</LinksUpToDate>
  <CharactersWithSpaces>826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2024-08-23T16:23:00Z</dcterms:created>
  <dc:creator>演绎轮回</dc:creator>
  <cp:lastModifiedBy>x</cp:lastModifiedBy>
  <dcterms:modified xsi:type="dcterms:W3CDTF">2025-10-24T06:27:42Z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7A68C2924933460CA628C5D4ED93EFA8_13</vt:lpwstr>
  </property>
  <property fmtid="{D5CDD505-2E9C-101B-9397-08002B2CF9AE}" pid="4" name="KSOTemplateUUID">
    <vt:lpwstr>v1.0_mb_7dYjM/Xkw3XKQlW3QHD66Q==</vt:lpwstr>
  </property>
  <property fmtid="{D5CDD505-2E9C-101B-9397-08002B2CF9AE}" pid="5" name="KSOTemplateDocerSaveRecord">
    <vt:lpwstr>eyJoZGlkIjoiMTAyMzJkOGNiMDEyZDQzM2FkNGM4ODJmZGE4NDczMDMiLCJ1c2VySWQiOiIxMDA1MTcwMTk4In0=</vt:lpwstr>
  </property>
</Properties>
</file>